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soins : le plus grave est retenu pour qualifier le dossier/affaire. Pour chaque patient/victime, le motif spécifique est indiqué.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BF4B39-A398-42B3-8076-3D416EC40958}"/>
</file>

<file path=customXml/itemProps3.xml><?xml version="1.0" encoding="utf-8"?>
<ds:datastoreItem xmlns:ds="http://schemas.openxmlformats.org/officeDocument/2006/customXml" ds:itemID="{2F0E3316-5031-4A93-A3BE-6763ACDBB2FD}"/>
</file>

<file path=customXml/itemProps4.xml><?xml version="1.0" encoding="utf-8"?>
<ds:datastoreItem xmlns:ds="http://schemas.openxmlformats.org/officeDocument/2006/customXml" ds:itemID="{C718BA64-7DEA-474D-ADFB-C0FEBCDC65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